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120"/>
        <w:jc w:val="left"/>
        <w:rPr/>
      </w:pPr>
      <w:r>
        <w:rPr/>
        <w:t>Modèle de plan de formation : chaque bloc, avec un exemple chiffré</w:t>
      </w:r>
    </w:p>
    <w:p>
      <w:pPr>
        <w:pStyle w:val="BodyTextnote"/>
        <w:bidi w:val="0"/>
        <w:jc w:val="left"/>
        <w:rPr/>
      </w:pPr>
      <w:r>
        <w:rPr/>
        <w:t>Exemple à titre indicatif. Remplacez la colonne d'exemple par vos propres données. Le plan doit être établi au plus tard le 31 mars ; la copie anonymisée part au SPF Emploi dans le mois suivant l'entrée en vigueur.</w:t>
      </w:r>
    </w:p>
    <w:tbl>
      <w:tblPr>
        <w:tblW w:w="11339" w:type="dxa"/>
        <w:jc w:val="left"/>
        <w:tblInd w:w="28" w:type="dxa"/>
        <w:tblLayout w:type="fixed"/>
        <w:tblCellMar>
          <w:top w:w="28" w:type="dxa"/>
          <w:left w:w="28" w:type="dxa"/>
          <w:bottom w:w="28" w:type="dxa"/>
          <w:right w:w="28" w:type="dxa"/>
        </w:tblCellMar>
      </w:tblPr>
      <w:tblGrid>
        <w:gridCol w:w="1850"/>
        <w:gridCol w:w="4520"/>
        <w:gridCol w:w="4066"/>
        <w:gridCol w:w="903"/>
      </w:tblGrid>
      <w:tr>
        <w:trPr>
          <w:tblHeader w:val="true"/>
        </w:trPr>
        <w:tc>
          <w:tcPr>
            <w:tcW w:w="1850" w:type="dxa"/>
            <w:tcBorders/>
            <w:vAlign w:val="center"/>
          </w:tcPr>
          <w:p>
            <w:pPr>
              <w:pStyle w:val="TableHeading"/>
              <w:suppressLineNumbers/>
              <w:shd w:fill="0B145A" w:val="clear"/>
              <w:bidi w:val="0"/>
              <w:spacing w:before="0" w:after="283"/>
              <w:jc w:val="left"/>
              <w:rPr/>
            </w:pPr>
            <w:r>
              <w:rPr/>
              <w:t>Bloc</w:t>
            </w:r>
          </w:p>
        </w:tc>
        <w:tc>
          <w:tcPr>
            <w:tcW w:w="4520" w:type="dxa"/>
            <w:tcBorders/>
            <w:vAlign w:val="center"/>
          </w:tcPr>
          <w:p>
            <w:pPr>
              <w:pStyle w:val="TableHeading"/>
              <w:suppressLineNumbers/>
              <w:shd w:fill="0B145A" w:val="clear"/>
              <w:bidi w:val="0"/>
              <w:spacing w:before="0" w:after="283"/>
              <w:jc w:val="left"/>
              <w:rPr/>
            </w:pPr>
            <w:r>
              <w:rPr/>
              <w:t>Ce qu'il doit contenir</w:t>
            </w:r>
          </w:p>
        </w:tc>
        <w:tc>
          <w:tcPr>
            <w:tcW w:w="4066" w:type="dxa"/>
            <w:tcBorders/>
            <w:vAlign w:val="center"/>
          </w:tcPr>
          <w:p>
            <w:pPr>
              <w:pStyle w:val="TableHeading"/>
              <w:suppressLineNumbers/>
              <w:shd w:fill="0B145A" w:val="clear"/>
              <w:bidi w:val="0"/>
              <w:spacing w:before="0" w:after="283"/>
              <w:jc w:val="left"/>
              <w:rPr/>
            </w:pPr>
            <w:r>
              <w:rPr/>
              <w:t>Exemple : Métalworks Devos, 60 travailleurs, CP 111</w:t>
            </w:r>
          </w:p>
        </w:tc>
        <w:tc>
          <w:tcPr>
            <w:tcW w:w="903" w:type="dxa"/>
            <w:tcBorders/>
            <w:vAlign w:val="center"/>
          </w:tcPr>
          <w:p>
            <w:pPr>
              <w:pStyle w:val="TableHeading"/>
              <w:suppressLineNumbers/>
              <w:shd w:fill="0B145A" w:val="clear"/>
              <w:bidi w:val="0"/>
              <w:spacing w:before="0" w:after="283"/>
              <w:jc w:val="left"/>
              <w:rPr/>
            </w:pPr>
            <w:r>
              <w:rPr/>
              <w:t>Votre contenu</w:t>
            </w:r>
          </w:p>
        </w:tc>
      </w:tr>
      <w:tr>
        <w:trPr/>
        <w:tc>
          <w:tcPr>
            <w:tcW w:w="1850" w:type="dxa"/>
            <w:tcBorders/>
            <w:vAlign w:val="center"/>
          </w:tcPr>
          <w:p>
            <w:pPr>
              <w:pStyle w:val="TableContents"/>
              <w:bidi w:val="0"/>
              <w:spacing w:before="0" w:after="283"/>
              <w:jc w:val="left"/>
              <w:rPr/>
            </w:pPr>
            <w:r>
              <w:rPr/>
              <w:t>1. Identification</w:t>
            </w:r>
          </w:p>
        </w:tc>
        <w:tc>
          <w:tcPr>
            <w:tcW w:w="4520" w:type="dxa"/>
            <w:tcBorders/>
            <w:vAlign w:val="center"/>
          </w:tcPr>
          <w:p>
            <w:pPr>
              <w:pStyle w:val="TableContents"/>
              <w:bidi w:val="0"/>
              <w:spacing w:before="0" w:after="283"/>
              <w:jc w:val="left"/>
              <w:rPr/>
            </w:pPr>
            <w:r>
              <w:rPr/>
              <w:t>Dénomination et numéro d'entreprise de l'entité juridique, les commissions paritaires compétentes, l'effectif en équivalents temps plein et la période de référence sur laquelle il est calculé.</w:t>
            </w:r>
          </w:p>
        </w:tc>
        <w:tc>
          <w:tcPr>
            <w:tcW w:w="4066" w:type="dxa"/>
            <w:tcBorders/>
            <w:vAlign w:val="center"/>
          </w:tcPr>
          <w:p>
            <w:pPr>
              <w:pStyle w:val="TableContents"/>
              <w:bidi w:val="0"/>
              <w:spacing w:before="0" w:after="283"/>
              <w:jc w:val="left"/>
              <w:rPr/>
            </w:pPr>
            <w:r>
              <w:rPr/>
              <w:t>Métalworks Devos SA, 60 équivalents temps plein calculés sur le quatrième trimestre 2024 et les trois premiers trimestres 2025. Ouvriers en CP 111, employés dans la commission paritaire compétente pour les employés.</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2. Période et entrée en vigueur</w:t>
            </w:r>
          </w:p>
        </w:tc>
        <w:tc>
          <w:tcPr>
            <w:tcW w:w="4520" w:type="dxa"/>
            <w:tcBorders/>
            <w:vAlign w:val="center"/>
          </w:tcPr>
          <w:p>
            <w:pPr>
              <w:pStyle w:val="TableContents"/>
              <w:bidi w:val="0"/>
              <w:spacing w:before="0" w:after="283"/>
              <w:jc w:val="left"/>
              <w:rPr/>
            </w:pPr>
            <w:r>
              <w:rPr/>
              <w:t>La période couverte. Durée minimum d'un an. Le plan est applicable dès le 1er janvier, la période de consultation étant incluse. Un plan pluriannuel est possible moyennant l'accord des organes de concertation ou des travailleurs.</w:t>
            </w:r>
          </w:p>
        </w:tc>
        <w:tc>
          <w:tcPr>
            <w:tcW w:w="4066" w:type="dxa"/>
            <w:tcBorders/>
            <w:vAlign w:val="center"/>
          </w:tcPr>
          <w:p>
            <w:pPr>
              <w:pStyle w:val="TableContents"/>
              <w:bidi w:val="0"/>
              <w:spacing w:before="0" w:after="283"/>
              <w:jc w:val="left"/>
              <w:rPr/>
            </w:pPr>
            <w:r>
              <w:rPr/>
              <w:t>Année civile 2026, du 1er janvier au 31 décembre 2026. Plan d'un an, sans reconduction prévue.</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3. Parcours de concertation, avec les dates</w:t>
            </w:r>
          </w:p>
        </w:tc>
        <w:tc>
          <w:tcPr>
            <w:tcW w:w="4520" w:type="dxa"/>
            <w:tcBorders/>
            <w:vAlign w:val="center"/>
          </w:tcPr>
          <w:p>
            <w:pPr>
              <w:pStyle w:val="TableContents"/>
              <w:bidi w:val="0"/>
              <w:spacing w:before="0" w:after="283"/>
              <w:jc w:val="left"/>
              <w:rPr/>
            </w:pPr>
            <w:r>
              <w:rPr/>
              <w:t>À qui le projet a été soumis, quand il a été transmis, quand la réunion s'est tenue, quand l'avis a été rendu et quand le contenu a été arrêté. Le projet part au moins quinze jours avant la réunion, l'avis tombe pour le 15 mars au plus tard.</w:t>
            </w:r>
          </w:p>
        </w:tc>
        <w:tc>
          <w:tcPr>
            <w:tcW w:w="4066" w:type="dxa"/>
            <w:tcBorders/>
            <w:vAlign w:val="center"/>
          </w:tcPr>
          <w:p>
            <w:pPr>
              <w:pStyle w:val="TableContents"/>
              <w:bidi w:val="0"/>
              <w:spacing w:before="0" w:after="283"/>
              <w:jc w:val="left"/>
              <w:rPr/>
            </w:pPr>
            <w:r>
              <w:rPr/>
              <w:t>Projet transmis au conseil d'entreprise le 16 février 2026, réunion le 5 mars, avis le 12 mars, contenu arrêté le 24 mars. Avis et procès-verbal annexés au plan.</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4. Formations formelles</w:t>
            </w:r>
          </w:p>
        </w:tc>
        <w:tc>
          <w:tcPr>
            <w:tcW w:w="4520" w:type="dxa"/>
            <w:tcBorders/>
            <w:vAlign w:val="center"/>
          </w:tcPr>
          <w:p>
            <w:pPr>
              <w:pStyle w:val="TableContents"/>
              <w:bidi w:val="0"/>
              <w:spacing w:before="0" w:after="283"/>
              <w:jc w:val="left"/>
              <w:rPr/>
            </w:pPr>
            <w:r>
              <w:rPr/>
              <w:t>Cours et stages conçus par des formateurs, dans un lieu nettement séparé du lieu de travail, s'adressant à un groupe. Par formation : groupe cible, nombre de participants, heures et organisme. Bloc légalement obligatoire.</w:t>
            </w:r>
          </w:p>
        </w:tc>
        <w:tc>
          <w:tcPr>
            <w:tcW w:w="4066" w:type="dxa"/>
            <w:tcBorders/>
            <w:vAlign w:val="center"/>
          </w:tcPr>
          <w:p>
            <w:pPr>
              <w:pStyle w:val="TableContents"/>
              <w:bidi w:val="0"/>
              <w:spacing w:before="0" w:after="283"/>
              <w:jc w:val="left"/>
              <w:rPr/>
            </w:pPr>
            <w:r>
              <w:rPr/>
              <w:t>VCA sécurité de base, 18 opérateurs de production, 16 heures, organisme externe. Recertification chariot élévateur, 9 magasiniers, 8 heures. BA4 personnes averties, 4 techniciens, 16 heures. Recyclage secourisme, 3 secouristes, 8 heures.</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5. Formations informelles</w:t>
            </w:r>
          </w:p>
        </w:tc>
        <w:tc>
          <w:tcPr>
            <w:tcW w:w="4520" w:type="dxa"/>
            <w:tcBorders/>
            <w:vAlign w:val="center"/>
          </w:tcPr>
          <w:p>
            <w:pPr>
              <w:pStyle w:val="TableContents"/>
              <w:bidi w:val="0"/>
              <w:spacing w:before="0" w:after="283"/>
              <w:jc w:val="left"/>
              <w:rPr/>
            </w:pPr>
            <w:r>
              <w:rPr/>
              <w:t>Activités d'apprentissage en relation directe avec le travail, à haut degré d'auto-organisation quant à l'horaire, au lieu et au contenu, en ce compris la participation à des conférences ou à des foires dans un but d'apprentissage. Bloc légalement obligatoire.</w:t>
            </w:r>
          </w:p>
        </w:tc>
        <w:tc>
          <w:tcPr>
            <w:tcW w:w="4066" w:type="dxa"/>
            <w:tcBorders/>
            <w:vAlign w:val="center"/>
          </w:tcPr>
          <w:p>
            <w:pPr>
              <w:pStyle w:val="TableContents"/>
              <w:bidi w:val="0"/>
              <w:spacing w:before="0" w:after="283"/>
              <w:jc w:val="left"/>
              <w:rPr/>
            </w:pPr>
            <w:r>
              <w:rPr/>
              <w:t>Accompagnement sur le nouveau robot de soudage par un parrain, 6 opérateurs, 24 heures sur le terrain. Visite du salon professionnel de la métallurgie avec objectif d'apprentissage et compte rendu, 5 préparateurs, 8 heures.</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6. Métiers en pénurie</w:t>
            </w:r>
          </w:p>
        </w:tc>
        <w:tc>
          <w:tcPr>
            <w:tcW w:w="4520" w:type="dxa"/>
            <w:tcBorders/>
            <w:vAlign w:val="center"/>
          </w:tcPr>
          <w:p>
            <w:pPr>
              <w:pStyle w:val="TableContents"/>
              <w:bidi w:val="0"/>
              <w:spacing w:before="0" w:after="283"/>
              <w:jc w:val="left"/>
              <w:rPr/>
            </w:pPr>
            <w:r>
              <w:rPr/>
              <w:t>Quels métiers en pénurie de votre secteur vous traitez par la formation, et par quelle formation. Un métier en pénurie est une profession pour laquelle les employeurs du secteur ne trouvent pas ou difficilement des candidats appropriés.</w:t>
            </w:r>
          </w:p>
        </w:tc>
        <w:tc>
          <w:tcPr>
            <w:tcW w:w="4066" w:type="dxa"/>
            <w:tcBorders/>
            <w:vAlign w:val="center"/>
          </w:tcPr>
          <w:p>
            <w:pPr>
              <w:pStyle w:val="TableContents"/>
              <w:bidi w:val="0"/>
              <w:spacing w:before="0" w:after="283"/>
              <w:jc w:val="left"/>
              <w:rPr/>
            </w:pPr>
            <w:r>
              <w:rPr/>
              <w:t>Soudeur et opérateur CNC. Parcours interne de soudeur pour 4 opérateurs de production, 120 heures, avec le fonds de formation sectoriel. Deux postes restés vacants six mois l'an dernier.</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7. Groupes à risque et travailleurs de 50 ans et plus</w:t>
            </w:r>
          </w:p>
        </w:tc>
        <w:tc>
          <w:tcPr>
            <w:tcW w:w="4520" w:type="dxa"/>
            <w:tcBorders/>
            <w:vAlign w:val="center"/>
          </w:tcPr>
          <w:p>
            <w:pPr>
              <w:pStyle w:val="TableContents"/>
              <w:bidi w:val="0"/>
              <w:spacing w:before="0" w:after="283"/>
              <w:jc w:val="left"/>
              <w:rPr/>
            </w:pPr>
            <w:r>
              <w:rPr/>
              <w:t>Une attention particulière aux personnes issues des groupes à risque, en particulier les travailleurs d'au moins 50 ans. Notez le nombre de travailleurs concernés et les formations qui leur sont destinées.</w:t>
            </w:r>
          </w:p>
        </w:tc>
        <w:tc>
          <w:tcPr>
            <w:tcW w:w="4066" w:type="dxa"/>
            <w:tcBorders/>
            <w:vAlign w:val="center"/>
          </w:tcPr>
          <w:p>
            <w:pPr>
              <w:pStyle w:val="TableContents"/>
              <w:bidi w:val="0"/>
              <w:spacing w:before="0" w:after="283"/>
              <w:jc w:val="left"/>
              <w:rPr/>
            </w:pPr>
            <w:r>
              <w:rPr/>
              <w:t>11 travailleurs de 50 ans ou plus, dont 8 repris dans le plan. Compétences numériques de base pour 6 d'entre eux, 12 heures. Ergonomie et adaptation du poste pour l'équipe montage.</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8. Travailleurs d'origine étrangère et travailleurs en situation de handicap</w:t>
            </w:r>
          </w:p>
        </w:tc>
        <w:tc>
          <w:tcPr>
            <w:tcW w:w="4520" w:type="dxa"/>
            <w:tcBorders/>
            <w:vAlign w:val="center"/>
          </w:tcPr>
          <w:p>
            <w:pPr>
              <w:pStyle w:val="TableContents"/>
              <w:bidi w:val="0"/>
              <w:spacing w:before="0" w:after="283"/>
              <w:jc w:val="left"/>
              <w:rPr/>
            </w:pPr>
            <w:r>
              <w:rPr/>
              <w:t>La loi demande explicitement une attention pour ces deux groupes dans l'offre de formation. Décrivez ce que vous proposez et comment vous le rendez accessible.</w:t>
            </w:r>
          </w:p>
        </w:tc>
        <w:tc>
          <w:tcPr>
            <w:tcW w:w="4066" w:type="dxa"/>
            <w:tcBorders/>
            <w:vAlign w:val="center"/>
          </w:tcPr>
          <w:p>
            <w:pPr>
              <w:pStyle w:val="TableContents"/>
              <w:bidi w:val="0"/>
              <w:spacing w:before="0" w:after="283"/>
              <w:jc w:val="left"/>
              <w:rPr/>
            </w:pPr>
            <w:r>
              <w:rPr/>
              <w:t>Français sur le lieu de travail, 30 heures, pour 7 travailleurs. Pour un travailleur malentendant : consignes écrites et temps d'apprentissage allongé pour chaque formation technique.</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9. Dimension de genre</w:t>
            </w:r>
          </w:p>
        </w:tc>
        <w:tc>
          <w:tcPr>
            <w:tcW w:w="4520" w:type="dxa"/>
            <w:tcBorders/>
            <w:vAlign w:val="center"/>
          </w:tcPr>
          <w:p>
            <w:pPr>
              <w:pStyle w:val="TableContents"/>
              <w:bidi w:val="0"/>
              <w:spacing w:before="0" w:after="283"/>
              <w:jc w:val="left"/>
              <w:rPr/>
            </w:pPr>
            <w:r>
              <w:rPr/>
              <w:t>La dimension de genre doit être prise en compte. Sur le plan quantitatif : viser l'absence d'inégalité de traitement ou d'opportunités. Sur le plan qualitatif : prêter attention à la formation sur l'égalité des sexes et la prévention de la discrimination.</w:t>
            </w:r>
          </w:p>
        </w:tc>
        <w:tc>
          <w:tcPr>
            <w:tcW w:w="4066" w:type="dxa"/>
            <w:tcBorders/>
            <w:vAlign w:val="center"/>
          </w:tcPr>
          <w:p>
            <w:pPr>
              <w:pStyle w:val="TableContents"/>
              <w:bidi w:val="0"/>
              <w:spacing w:before="0" w:after="283"/>
              <w:jc w:val="left"/>
              <w:rPr/>
            </w:pPr>
            <w:r>
              <w:rPr/>
              <w:t>14 des 60 travailleurs sont des femmes, soit 23 pour cent de l'effectif et 22 pour cent des participants prévus. Tous les responsables suivent 4 heures de formation sur la discrimination à la sélection et à la promotion.</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10. Méthode d'évaluation avec les travailleurs</w:t>
            </w:r>
          </w:p>
        </w:tc>
        <w:tc>
          <w:tcPr>
            <w:tcW w:w="4520" w:type="dxa"/>
            <w:tcBorders/>
            <w:vAlign w:val="center"/>
          </w:tcPr>
          <w:p>
            <w:pPr>
              <w:pStyle w:val="TableContents"/>
              <w:bidi w:val="0"/>
              <w:spacing w:before="0" w:after="283"/>
              <w:jc w:val="left"/>
              <w:rPr/>
            </w:pPr>
            <w:r>
              <w:rPr/>
              <w:t>Comment vous évaluez avec les travailleurs si les formations ont atteint leur but. La loi cite explicitement la méthode d'évaluation parmi les points d'attention.</w:t>
            </w:r>
          </w:p>
        </w:tc>
        <w:tc>
          <w:tcPr>
            <w:tcW w:w="4066" w:type="dxa"/>
            <w:tcBorders/>
            <w:vAlign w:val="center"/>
          </w:tcPr>
          <w:p>
            <w:pPr>
              <w:pStyle w:val="TableContents"/>
              <w:bidi w:val="0"/>
              <w:spacing w:before="0" w:after="283"/>
              <w:jc w:val="left"/>
              <w:rPr/>
            </w:pPr>
            <w:r>
              <w:rPr/>
              <w:t>Formulaire d'évaluation dans les deux semaines après chaque formation, avec une question sur l'application au poste. Un point fixe consacré à la formation dans l'entretien annuel.</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11. Contribution au droit individuel à la formation</w:t>
            </w:r>
          </w:p>
        </w:tc>
        <w:tc>
          <w:tcPr>
            <w:tcW w:w="4520" w:type="dxa"/>
            <w:tcBorders/>
            <w:vAlign w:val="center"/>
          </w:tcPr>
          <w:p>
            <w:pPr>
              <w:pStyle w:val="TableContents"/>
              <w:bidi w:val="0"/>
              <w:spacing w:before="0" w:after="283"/>
              <w:jc w:val="left"/>
              <w:rPr/>
            </w:pPr>
            <w:r>
              <w:rPr/>
              <w:t>Une explication de la manière dont le plan contribue à l'investissement dans la formation visé au chapitre 12 de la loi du 3 octobre 2022. Bloc légalement obligatoire.</w:t>
            </w:r>
          </w:p>
        </w:tc>
        <w:tc>
          <w:tcPr>
            <w:tcW w:w="4066" w:type="dxa"/>
            <w:tcBorders/>
            <w:vAlign w:val="center"/>
          </w:tcPr>
          <w:p>
            <w:pPr>
              <w:pStyle w:val="TableContents"/>
              <w:bidi w:val="0"/>
              <w:spacing w:before="0" w:after="283"/>
              <w:jc w:val="left"/>
              <w:rPr/>
            </w:pPr>
            <w:r>
              <w:rPr/>
              <w:t>Les formations prévues représentent en moyenne 3,4 jours de formation par équivalent temps plein. Les jours restants sont complétés individuellement dans le catalogue de formation, avec un suivi par travailleur.</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12. Lignes par commission paritaire (recommandé, pas légalement obligatoire)</w:t>
            </w:r>
          </w:p>
        </w:tc>
        <w:tc>
          <w:tcPr>
            <w:tcW w:w="4520" w:type="dxa"/>
            <w:tcBorders/>
            <w:vAlign w:val="center"/>
          </w:tcPr>
          <w:p>
            <w:pPr>
              <w:pStyle w:val="TableContents"/>
              <w:bidi w:val="0"/>
              <w:spacing w:before="0" w:after="283"/>
              <w:jc w:val="left"/>
              <w:rPr/>
            </w:pPr>
            <w:r>
              <w:rPr/>
              <w:t>Une ligne par commission paritaire compétente : existe-t-il une CCT sectorielle qui impose des exigences minimales au plan, quel nombre de jours de formation le secteur impose-t-il, quel fonds de sécurité d'existence y est rattaché. Une CCT sectorielle rendue obligatoire doit être respectée.</w:t>
            </w:r>
          </w:p>
        </w:tc>
        <w:tc>
          <w:tcPr>
            <w:tcW w:w="4066" w:type="dxa"/>
            <w:tcBorders/>
            <w:vAlign w:val="center"/>
          </w:tcPr>
          <w:p>
            <w:pPr>
              <w:pStyle w:val="TableContents"/>
              <w:bidi w:val="0"/>
              <w:spacing w:before="0" w:after="283"/>
              <w:jc w:val="left"/>
              <w:rPr/>
            </w:pPr>
            <w:r>
              <w:rPr/>
              <w:t>Ligne un pour la CP 111, avec la CCT sectorielle recherchée dans la banque de données et le fonds de formation mentionné. Ligne deux pour la commission des employés, avec son propre nombre de jours et son propre fonds.</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13. Registre du droit à la formation en jours (recommandé, pas légalement obligatoire)</w:t>
            </w:r>
          </w:p>
        </w:tc>
        <w:tc>
          <w:tcPr>
            <w:tcW w:w="4520" w:type="dxa"/>
            <w:tcBorders/>
            <w:vAlign w:val="center"/>
          </w:tcPr>
          <w:p>
            <w:pPr>
              <w:pStyle w:val="TableContents"/>
              <w:bidi w:val="0"/>
              <w:spacing w:before="0" w:after="283"/>
              <w:jc w:val="left"/>
              <w:rPr/>
            </w:pPr>
            <w:r>
              <w:rPr/>
              <w:t>Par travailleur : le crédit formation de l'année, les jours pris, le solde, les jours reportés et la date de fin de la période de cinq ans en cours. Depuis le 1er janvier 2026, l'enregistrement n'est plus une obligation légale, mais un travailleur peut demander le solde de son crédit et, sans compteur, le report n'est pas démontrable.</w:t>
            </w:r>
          </w:p>
        </w:tc>
        <w:tc>
          <w:tcPr>
            <w:tcW w:w="4066" w:type="dxa"/>
            <w:tcBorders/>
            <w:vAlign w:val="center"/>
          </w:tcPr>
          <w:p>
            <w:pPr>
              <w:pStyle w:val="TableContents"/>
              <w:bidi w:val="0"/>
              <w:spacing w:before="0" w:after="283"/>
              <w:jc w:val="left"/>
              <w:rPr/>
            </w:pPr>
            <w:r>
              <w:rPr/>
              <w:t>60 lignes, une par travailleur, en jours, avec prorata pour les temps partiels et pour les entrées en cours d'année. Période en cours démarrée le 1er janvier 2024, solde remis à zéro le 31 décembre 2028.</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14. Budget et coût (recommandé, pas légalement obligatoire)</w:t>
            </w:r>
          </w:p>
        </w:tc>
        <w:tc>
          <w:tcPr>
            <w:tcW w:w="4520" w:type="dxa"/>
            <w:tcBorders/>
            <w:vAlign w:val="center"/>
          </w:tcPr>
          <w:p>
            <w:pPr>
              <w:pStyle w:val="TableContents"/>
              <w:bidi w:val="0"/>
              <w:spacing w:before="0" w:after="283"/>
              <w:jc w:val="left"/>
              <w:rPr/>
            </w:pPr>
            <w:r>
              <w:rPr/>
              <w:t>Coût par formation et par travailleur, interventions attendues déduites. Non exigé par la loi, mais c'est la base du coût net dont vous aurez besoin dans le volet formation du bilan social.</w:t>
            </w:r>
          </w:p>
        </w:tc>
        <w:tc>
          <w:tcPr>
            <w:tcW w:w="4066" w:type="dxa"/>
            <w:tcBorders/>
            <w:vAlign w:val="center"/>
          </w:tcPr>
          <w:p>
            <w:pPr>
              <w:pStyle w:val="TableContents"/>
              <w:bidi w:val="0"/>
              <w:spacing w:before="0" w:after="283"/>
              <w:jc w:val="left"/>
              <w:rPr/>
            </w:pPr>
            <w:r>
              <w:rPr/>
              <w:t>Budget brut de 41.000 euros pour l'année, interventions attendues du fonds sectoriel déduites, coût net tenu par bloc de formation et par sexe.</w:t>
            </w:r>
          </w:p>
        </w:tc>
        <w:tc>
          <w:tcPr>
            <w:tcW w:w="903"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15. Dépôt</w:t>
            </w:r>
          </w:p>
        </w:tc>
        <w:tc>
          <w:tcPr>
            <w:tcW w:w="4520" w:type="dxa"/>
            <w:tcBorders/>
            <w:vAlign w:val="center"/>
          </w:tcPr>
          <w:p>
            <w:pPr>
              <w:pStyle w:val="TableContents"/>
              <w:bidi w:val="0"/>
              <w:spacing w:before="0" w:after="283"/>
              <w:jc w:val="left"/>
              <w:rPr/>
            </w:pPr>
            <w:r>
              <w:rPr/>
              <w:t>La date d'entrée en vigueur du plan et la date à laquelle vous avez transmis la copie anonymisée au Directeur général. L'article 38 demande cette copie dans le mois de l'entrée en vigueur, mais ne dit pas quelle date compte : le 1er janvier ou le jour où le contenu a été arrêté. Notez les deux et transmettez dès que le contenu est arrêté. Conservez l'accusé de réception avec le plan.</w:t>
            </w:r>
          </w:p>
        </w:tc>
        <w:tc>
          <w:tcPr>
            <w:tcW w:w="4066" w:type="dxa"/>
            <w:tcBorders/>
            <w:vAlign w:val="center"/>
          </w:tcPr>
          <w:p>
            <w:pPr>
              <w:pStyle w:val="TableContents"/>
              <w:bidi w:val="0"/>
              <w:spacing w:before="0" w:after="283"/>
              <w:jc w:val="left"/>
              <w:rPr/>
            </w:pPr>
            <w:r>
              <w:rPr/>
              <w:t>Durée courant à partir du 1er janvier 2026, contenu arrêté le 24 mars 2026, copie anonymisée transmise le 8 avril 2026 via transfert.emploi.belgique.be, accusé de réception au dossier.</w:t>
            </w:r>
          </w:p>
        </w:tc>
        <w:tc>
          <w:tcPr>
            <w:tcW w:w="903" w:type="dxa"/>
            <w:tcBorders/>
            <w:vAlign w:val="center"/>
          </w:tcPr>
          <w:p>
            <w:pPr>
              <w:pStyle w:val="TableContents"/>
              <w:bidi w:val="0"/>
              <w:spacing w:before="0" w:after="283"/>
              <w:jc w:val="left"/>
              <w:rPr>
                <w:sz w:val="4"/>
                <w:szCs w:val="4"/>
              </w:rPr>
            </w:pPr>
            <w:r>
              <w:rPr>
                <w:sz w:val="4"/>
                <w:szCs w:val="4"/>
              </w:rPr>
            </w:r>
          </w:p>
        </w:tc>
      </w:tr>
    </w:tbl>
    <w:p>
      <w:pPr>
        <w:pStyle w:val="BodyTextfoot"/>
        <w:bidi w:val="0"/>
        <w:spacing w:before="240" w:after="283"/>
        <w:jc w:val="left"/>
        <w:rPr/>
      </w:pPr>
      <w:r>
        <w:rPr/>
        <w:t>Modèle de Smart Lions — smartlions.site</w:t>
      </w:r>
    </w:p>
    <w:sectPr>
      <w:type w:val="nextPage"/>
      <w:pgSz w:w="11906" w:h="16838"/>
      <w:pgMar w:left="1134" w:right="567" w:gutter="0" w:header="0" w:top="567" w:footer="0"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auto"/>
    <w:pitch w:val="default"/>
  </w:font>
  <w:font w:name="Liberation Sans">
    <w:altName w:val="Arial"/>
    <w:charset w:val="01"/>
    <w:family w:val="swiss"/>
    <w:pitch w:val="variable"/>
  </w:font>
</w:fonts>
</file>

<file path=word/settings.xml><?xml version="1.0" encoding="utf-8"?>
<w:settings xmlns:w="http://schemas.openxmlformats.org/wordprocessingml/2006/main">
  <w:view w:val="web"/>
  <w:zoom w:percent="100"/>
  <w:defaultTabStop w:val="1134"/>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ans;Arial;sans-serif" w:hAnsi="Liberation Sans;Arial;sans-serif" w:eastAsia="Liberation Sans;Arial;sans-serif" w:cs="Liberation Sans;Arial;sans-serif"/>
      <w:color w:val="111111"/>
      <w:sz w:val="20"/>
      <w:szCs w:val="20"/>
      <w:lang w:val="en-US" w:eastAsia="zh-CN" w:bidi="hi-IN"/>
    </w:rPr>
  </w:style>
  <w:style w:type="paragraph" w:styleId="Heading1">
    <w:name w:val="heading 1"/>
    <w:basedOn w:val="Heading"/>
    <w:next w:val="BodyText"/>
    <w:qFormat/>
    <w:pPr>
      <w:spacing w:before="240" w:after="120"/>
    </w:pPr>
    <w:rPr>
      <w:b/>
      <w:bCs/>
      <w:color w:val="0B145A"/>
      <w:sz w:val="32"/>
      <w:szCs w:val="32"/>
    </w:rPr>
  </w:style>
  <w:style w:type="character" w:styleId="EndnoteReference">
    <w:name w:val="endnote reference"/>
    <w:rPr>
      <w:vertAlign w:val="superscript"/>
    </w:rPr>
  </w:style>
  <w:style w:type="character" w:styleId="FootnoteReference">
    <w:name w:val="footnote reference"/>
    <w:rPr>
      <w:vertAlign w:val="superscrip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rPr>
      <w:sz w:val="18"/>
      <w:szCs w:val="1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BodyText"/>
    <w:pPr/>
    <w:rPr>
      <w:rFonts w:cs="Noto Sans Devanagari"/>
    </w:rPr>
  </w:style>
  <w:style w:type="paragraph" w:styleId="BodyText">
    <w:name w:val="Body Text"/>
    <w:basedOn w:val="Normal"/>
    <w:pPr>
      <w:spacing w:before="0" w:after="283"/>
    </w:pPr>
    <w:rPr/>
  </w:style>
  <w:style w:type="paragraph" w:styleId="Heading">
    <w:name w:val="Heading"/>
    <w:basedOn w:val="Normal"/>
    <w:next w:val="BodyText"/>
    <w:qFormat/>
    <w:pPr>
      <w:keepNext w:val="true"/>
      <w:spacing w:before="240" w:after="283"/>
    </w:pPr>
    <w:rPr>
      <w:rFonts w:ascii="Liberation Sans" w:hAnsi="Liberation Sans"/>
      <w:sz w:val="28"/>
      <w:szCs w:val="28"/>
    </w:rPr>
  </w:style>
  <w:style w:type="paragraph" w:styleId="BodyTextnote">
    <w:name w:val="Body Text.note"/>
    <w:basedOn w:val="BodyText"/>
    <w:qFormat/>
    <w:pPr>
      <w:spacing w:before="0" w:after="240"/>
    </w:pPr>
    <w:rPr>
      <w:color w:val="444444"/>
      <w:sz w:val="18"/>
      <w:szCs w:val="18"/>
    </w:rPr>
  </w:style>
  <w:style w:type="paragraph" w:styleId="BodyTextfoot">
    <w:name w:val="Body Text.foot"/>
    <w:basedOn w:val="BodyText"/>
    <w:qFormat/>
    <w:pPr>
      <w:spacing w:before="240" w:after="283"/>
    </w:pPr>
    <w:rPr>
      <w:color w:val="666666"/>
      <w:sz w:val="16"/>
      <w:szCs w:val="16"/>
    </w:rPr>
  </w:style>
  <w:style w:type="paragraph" w:styleId="TableHeading">
    <w:name w:val="Table Heading"/>
    <w:basedOn w:val="TableContents"/>
    <w:qFormat/>
    <w:pPr>
      <w:suppressLineNumbers/>
      <w:shd w:fill="0B145A" w:val="clear"/>
      <w:jc w:val="left"/>
    </w:pPr>
    <w:rPr>
      <w:b/>
      <w:bCs/>
      <w:color w:val="FFFFFF"/>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LibreOffice/25.8.6.2$Linux_X86_64 LibreOffice_project/580$Build-2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Modèle de plan de formation : chaque bloc, avec un exemple chiffré</dc:title>
</cp:coreProperties>
</file>

<file path=docProps/custom.xml><?xml version="1.0" encoding="utf-8"?>
<Properties xmlns="http://schemas.openxmlformats.org/officeDocument/2006/custom-properties" xmlns:vt="http://schemas.openxmlformats.org/officeDocument/2006/docPropsVTypes"/>
</file>