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1"/>
        <w:bidi w:val="0"/>
        <w:spacing w:before="240" w:after="120"/>
        <w:jc w:val="left"/>
        <w:rPr/>
      </w:pPr>
      <w:r>
        <w:rPr/>
        <w:t>Belgian training plan template: every block, with a worked example</w:t>
      </w:r>
    </w:p>
    <w:p>
      <w:pPr>
        <w:pStyle w:val="BodyTextnote"/>
        <w:bidi w:val="0"/>
        <w:jc w:val="left"/>
        <w:rPr/>
      </w:pPr>
      <w:r>
        <w:rPr/>
        <w:t>Worked example for illustration. Replace the example column with your own data. The plan must be drawn up by 31 March; the anonymised copy goes to the FPS Employment within one month of entry into force.</w:t>
      </w:r>
    </w:p>
    <w:tbl>
      <w:tblPr>
        <w:tblW w:w="11339" w:type="dxa"/>
        <w:jc w:val="left"/>
        <w:tblInd w:w="28" w:type="dxa"/>
        <w:tblLayout w:type="fixed"/>
        <w:tblCellMar>
          <w:top w:w="28" w:type="dxa"/>
          <w:left w:w="28" w:type="dxa"/>
          <w:bottom w:w="28" w:type="dxa"/>
          <w:right w:w="28" w:type="dxa"/>
        </w:tblCellMar>
      </w:tblPr>
      <w:tblGrid>
        <w:gridCol w:w="1867"/>
        <w:gridCol w:w="4876"/>
        <w:gridCol w:w="3741"/>
        <w:gridCol w:w="855"/>
      </w:tblGrid>
      <w:tr>
        <w:trPr>
          <w:tblHeader w:val="true"/>
        </w:trPr>
        <w:tc>
          <w:tcPr>
            <w:tcW w:w="1867" w:type="dxa"/>
            <w:tcBorders/>
            <w:vAlign w:val="center"/>
          </w:tcPr>
          <w:p>
            <w:pPr>
              <w:pStyle w:val="TableHeading"/>
              <w:suppressLineNumbers/>
              <w:shd w:fill="0B145A" w:val="clear"/>
              <w:bidi w:val="0"/>
              <w:spacing w:before="0" w:after="283"/>
              <w:jc w:val="left"/>
              <w:rPr/>
            </w:pPr>
            <w:r>
              <w:rPr/>
              <w:t>Block</w:t>
            </w:r>
          </w:p>
        </w:tc>
        <w:tc>
          <w:tcPr>
            <w:tcW w:w="4876" w:type="dxa"/>
            <w:tcBorders/>
            <w:vAlign w:val="center"/>
          </w:tcPr>
          <w:p>
            <w:pPr>
              <w:pStyle w:val="TableHeading"/>
              <w:suppressLineNumbers/>
              <w:shd w:fill="0B145A" w:val="clear"/>
              <w:bidi w:val="0"/>
              <w:spacing w:before="0" w:after="283"/>
              <w:jc w:val="left"/>
              <w:rPr/>
            </w:pPr>
            <w:r>
              <w:rPr/>
              <w:t>What goes in it</w:t>
            </w:r>
          </w:p>
        </w:tc>
        <w:tc>
          <w:tcPr>
            <w:tcW w:w="3741" w:type="dxa"/>
            <w:tcBorders/>
            <w:vAlign w:val="center"/>
          </w:tcPr>
          <w:p>
            <w:pPr>
              <w:pStyle w:val="TableHeading"/>
              <w:suppressLineNumbers/>
              <w:shd w:fill="0B145A" w:val="clear"/>
              <w:bidi w:val="0"/>
              <w:spacing w:before="0" w:after="283"/>
              <w:jc w:val="left"/>
              <w:rPr/>
            </w:pPr>
            <w:r>
              <w:rPr/>
              <w:t>Example: Metaalwerken Devos, 60 employees, JC 111</w:t>
            </w:r>
          </w:p>
        </w:tc>
        <w:tc>
          <w:tcPr>
            <w:tcW w:w="855" w:type="dxa"/>
            <w:tcBorders/>
            <w:vAlign w:val="center"/>
          </w:tcPr>
          <w:p>
            <w:pPr>
              <w:pStyle w:val="TableHeading"/>
              <w:suppressLineNumbers/>
              <w:shd w:fill="0B145A" w:val="clear"/>
              <w:bidi w:val="0"/>
              <w:spacing w:before="0" w:after="283"/>
              <w:jc w:val="left"/>
              <w:rPr/>
            </w:pPr>
            <w:r>
              <w:rPr/>
              <w:t>Your content</w:t>
            </w:r>
          </w:p>
        </w:tc>
      </w:tr>
      <w:tr>
        <w:trPr/>
        <w:tc>
          <w:tcPr>
            <w:tcW w:w="1867" w:type="dxa"/>
            <w:tcBorders/>
            <w:vAlign w:val="center"/>
          </w:tcPr>
          <w:p>
            <w:pPr>
              <w:pStyle w:val="TableContents"/>
              <w:bidi w:val="0"/>
              <w:spacing w:before="0" w:after="283"/>
              <w:jc w:val="left"/>
              <w:rPr/>
            </w:pPr>
            <w:r>
              <w:rPr/>
              <w:t>1. Identification</w:t>
            </w:r>
          </w:p>
        </w:tc>
        <w:tc>
          <w:tcPr>
            <w:tcW w:w="4876" w:type="dxa"/>
            <w:tcBorders/>
            <w:vAlign w:val="center"/>
          </w:tcPr>
          <w:p>
            <w:pPr>
              <w:pStyle w:val="TableContents"/>
              <w:bidi w:val="0"/>
              <w:spacing w:before="0" w:after="283"/>
              <w:jc w:val="left"/>
              <w:rPr/>
            </w:pPr>
            <w:r>
              <w:rPr/>
              <w:t>Name and company number of the legal entity, the competent joint committees, headcount in full-time equivalents and the reference period it was calculated over.</w:t>
            </w:r>
          </w:p>
        </w:tc>
        <w:tc>
          <w:tcPr>
            <w:tcW w:w="3741" w:type="dxa"/>
            <w:tcBorders/>
            <w:vAlign w:val="center"/>
          </w:tcPr>
          <w:p>
            <w:pPr>
              <w:pStyle w:val="TableContents"/>
              <w:bidi w:val="0"/>
              <w:spacing w:before="0" w:after="283"/>
              <w:jc w:val="left"/>
              <w:rPr/>
            </w:pPr>
            <w:r>
              <w:rPr/>
              <w:t>Metaalwerken Devos nv, 60 full-time equivalents calculated over the fourth quarter of 2024 and the first three quarters of 2025. Blue-collar staff in JC 111, white-collar staff in the competent white-collar committee.</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2. Period and entry into force</w:t>
            </w:r>
          </w:p>
        </w:tc>
        <w:tc>
          <w:tcPr>
            <w:tcW w:w="4876" w:type="dxa"/>
            <w:tcBorders/>
            <w:vAlign w:val="center"/>
          </w:tcPr>
          <w:p>
            <w:pPr>
              <w:pStyle w:val="TableContents"/>
              <w:bidi w:val="0"/>
              <w:spacing w:before="0" w:after="283"/>
              <w:jc w:val="left"/>
              <w:rPr/>
            </w:pPr>
            <w:r>
              <w:rPr/>
              <w:t>The period the plan covers. Minimum term of one year. The plan applies from 1 January, with the consultation period falling inside it. A multi-year plan is possible if the consultation bodies or the employees agree.</w:t>
            </w:r>
          </w:p>
        </w:tc>
        <w:tc>
          <w:tcPr>
            <w:tcW w:w="3741" w:type="dxa"/>
            <w:tcBorders/>
            <w:vAlign w:val="center"/>
          </w:tcPr>
          <w:p>
            <w:pPr>
              <w:pStyle w:val="TableContents"/>
              <w:bidi w:val="0"/>
              <w:spacing w:before="0" w:after="283"/>
              <w:jc w:val="left"/>
              <w:rPr/>
            </w:pPr>
            <w:r>
              <w:rPr/>
              <w:t>Calendar year 2026, 1 January to 31 December 2026. One-year plan, no rollover foreseen.</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3. Consultation trail, with dates</w:t>
            </w:r>
          </w:p>
        </w:tc>
        <w:tc>
          <w:tcPr>
            <w:tcW w:w="4876" w:type="dxa"/>
            <w:tcBorders/>
            <w:vAlign w:val="center"/>
          </w:tcPr>
          <w:p>
            <w:pPr>
              <w:pStyle w:val="TableContents"/>
              <w:bidi w:val="0"/>
              <w:spacing w:before="0" w:after="283"/>
              <w:jc w:val="left"/>
              <w:rPr/>
            </w:pPr>
            <w:r>
              <w:rPr/>
              <w:t>Who the draft went to, when it was sent, when the meeting took place, when the opinion was given and when the content was settled. The draft goes out at least fifteen days before the meeting, the opinion is due by 15 March at the latest.</w:t>
            </w:r>
          </w:p>
        </w:tc>
        <w:tc>
          <w:tcPr>
            <w:tcW w:w="3741" w:type="dxa"/>
            <w:tcBorders/>
            <w:vAlign w:val="center"/>
          </w:tcPr>
          <w:p>
            <w:pPr>
              <w:pStyle w:val="TableContents"/>
              <w:bidi w:val="0"/>
              <w:spacing w:before="0" w:after="283"/>
              <w:jc w:val="left"/>
              <w:rPr/>
            </w:pPr>
            <w:r>
              <w:rPr/>
              <w:t>Draft to the works council on 16 February 2026, meeting on 5 March, opinion on 12 March, content settled on 24 March. Opinion and minutes attached to the plan.</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4. Formal training</w:t>
            </w:r>
          </w:p>
        </w:tc>
        <w:tc>
          <w:tcPr>
            <w:tcW w:w="4876" w:type="dxa"/>
            <w:tcBorders/>
            <w:vAlign w:val="center"/>
          </w:tcPr>
          <w:p>
            <w:pPr>
              <w:pStyle w:val="TableContents"/>
              <w:bidi w:val="0"/>
              <w:spacing w:before="0" w:after="283"/>
              <w:jc w:val="left"/>
              <w:rPr/>
            </w:pPr>
            <w:r>
              <w:rPr/>
              <w:t>Courses and traineeships designed by trainers, held somewhere clearly separated from the workplace, addressed to a group of learners. Per training: target group, number of participants, hours and provider. Legally mandatory block.</w:t>
            </w:r>
          </w:p>
        </w:tc>
        <w:tc>
          <w:tcPr>
            <w:tcW w:w="3741" w:type="dxa"/>
            <w:tcBorders/>
            <w:vAlign w:val="center"/>
          </w:tcPr>
          <w:p>
            <w:pPr>
              <w:pStyle w:val="TableContents"/>
              <w:bidi w:val="0"/>
              <w:spacing w:before="0" w:after="283"/>
              <w:jc w:val="left"/>
              <w:rPr/>
            </w:pPr>
            <w:r>
              <w:rPr/>
              <w:t>VCA basic safety, 18 production operators, 16 hours, external provider. Forklift recertification, 9 warehouse staff, 8 hours. BA4 for instructed persons, 4 technicians, 16 hours. First aid refresher, 3 first aiders, 8 hours.</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5. Informal training</w:t>
            </w:r>
          </w:p>
        </w:tc>
        <w:tc>
          <w:tcPr>
            <w:tcW w:w="4876" w:type="dxa"/>
            <w:tcBorders/>
            <w:vAlign w:val="center"/>
          </w:tcPr>
          <w:p>
            <w:pPr>
              <w:pStyle w:val="TableContents"/>
              <w:bidi w:val="0"/>
              <w:spacing w:before="0" w:after="283"/>
              <w:jc w:val="left"/>
              <w:rPr/>
            </w:pPr>
            <w:r>
              <w:rPr/>
              <w:t>Learning activities directly related to the work, with a high degree of self-organisation as to time, place and content, including attending conferences or trade fairs for learning purposes. Legally mandatory block.</w:t>
            </w:r>
          </w:p>
        </w:tc>
        <w:tc>
          <w:tcPr>
            <w:tcW w:w="3741" w:type="dxa"/>
            <w:tcBorders/>
            <w:vAlign w:val="center"/>
          </w:tcPr>
          <w:p>
            <w:pPr>
              <w:pStyle w:val="TableContents"/>
              <w:bidi w:val="0"/>
              <w:spacing w:before="0" w:after="283"/>
              <w:jc w:val="left"/>
              <w:rPr/>
            </w:pPr>
            <w:r>
              <w:rPr/>
              <w:t>Coaching on the new welding robot by a mentor, 6 operators, 24 hours on the floor. Metalworking trade fair visit with a learning objective and a written report, 5 work planners, 8 hours.</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6. Bottleneck occupations</w:t>
            </w:r>
          </w:p>
        </w:tc>
        <w:tc>
          <w:tcPr>
            <w:tcW w:w="4876" w:type="dxa"/>
            <w:tcBorders/>
            <w:vAlign w:val="center"/>
          </w:tcPr>
          <w:p>
            <w:pPr>
              <w:pStyle w:val="TableContents"/>
              <w:bidi w:val="0"/>
              <w:spacing w:before="0" w:after="283"/>
              <w:jc w:val="left"/>
              <w:rPr/>
            </w:pPr>
            <w:r>
              <w:rPr/>
              <w:t>Which bottleneck occupations in your sector you address through training, and with what. A bottleneck occupation is one for which employers in the sector cannot find, or struggle to find, suitable candidates.</w:t>
            </w:r>
          </w:p>
        </w:tc>
        <w:tc>
          <w:tcPr>
            <w:tcW w:w="3741" w:type="dxa"/>
            <w:tcBorders/>
            <w:vAlign w:val="center"/>
          </w:tcPr>
          <w:p>
            <w:pPr>
              <w:pStyle w:val="TableContents"/>
              <w:bidi w:val="0"/>
              <w:spacing w:before="0" w:after="283"/>
              <w:jc w:val="left"/>
              <w:rPr/>
            </w:pPr>
            <w:r>
              <w:rPr/>
              <w:t>Welder and CNC machinist. Internal welder track for 4 production operators, 120 hours, together with the sectoral training fund. Two vacancies stood open for six months last year.</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7. At-risk groups and employees aged 50 and over</w:t>
            </w:r>
          </w:p>
        </w:tc>
        <w:tc>
          <w:tcPr>
            <w:tcW w:w="4876" w:type="dxa"/>
            <w:tcBorders/>
            <w:vAlign w:val="center"/>
          </w:tcPr>
          <w:p>
            <w:pPr>
              <w:pStyle w:val="TableContents"/>
              <w:bidi w:val="0"/>
              <w:spacing w:before="0" w:after="283"/>
              <w:jc w:val="left"/>
              <w:rPr/>
            </w:pPr>
            <w:r>
              <w:rPr/>
              <w:t>Particular attention to people from the at-risk groups, and in particular to employees aged at least 50. Record how many employees this concerns and which training targets them.</w:t>
            </w:r>
          </w:p>
        </w:tc>
        <w:tc>
          <w:tcPr>
            <w:tcW w:w="3741" w:type="dxa"/>
            <w:tcBorders/>
            <w:vAlign w:val="center"/>
          </w:tcPr>
          <w:p>
            <w:pPr>
              <w:pStyle w:val="TableContents"/>
              <w:bidi w:val="0"/>
              <w:spacing w:before="0" w:after="283"/>
              <w:jc w:val="left"/>
              <w:rPr/>
            </w:pPr>
            <w:r>
              <w:rPr/>
              <w:t>11 employees aged 50 or over, 8 of them included in the plan. Basic digital skills for 6 of them, 12 hours. Ergonomics and workstation adjustment for the assembly team.</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8. Employees of foreign origin and employees with a disability</w:t>
            </w:r>
          </w:p>
        </w:tc>
        <w:tc>
          <w:tcPr>
            <w:tcW w:w="4876" w:type="dxa"/>
            <w:tcBorders/>
            <w:vAlign w:val="center"/>
          </w:tcPr>
          <w:p>
            <w:pPr>
              <w:pStyle w:val="TableContents"/>
              <w:bidi w:val="0"/>
              <w:spacing w:before="0" w:after="283"/>
              <w:jc w:val="left"/>
              <w:rPr/>
            </w:pPr>
            <w:r>
              <w:rPr/>
              <w:t>The Act expressly asks for attention to these two groups in the training offer. Describe what you offer and how you make it accessible.</w:t>
            </w:r>
          </w:p>
        </w:tc>
        <w:tc>
          <w:tcPr>
            <w:tcW w:w="3741" w:type="dxa"/>
            <w:tcBorders/>
            <w:vAlign w:val="center"/>
          </w:tcPr>
          <w:p>
            <w:pPr>
              <w:pStyle w:val="TableContents"/>
              <w:bidi w:val="0"/>
              <w:spacing w:before="0" w:after="283"/>
              <w:jc w:val="left"/>
              <w:rPr/>
            </w:pPr>
            <w:r>
              <w:rPr/>
              <w:t>Dutch on the shop floor, 30 hours, for 7 employees. For an employee with a hearing impairment: written instructions and extended learning time on every technical training.</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9. Gender dimension</w:t>
            </w:r>
          </w:p>
        </w:tc>
        <w:tc>
          <w:tcPr>
            <w:tcW w:w="4876" w:type="dxa"/>
            <w:tcBorders/>
            <w:vAlign w:val="center"/>
          </w:tcPr>
          <w:p>
            <w:pPr>
              <w:pStyle w:val="TableContents"/>
              <w:bidi w:val="0"/>
              <w:spacing w:before="0" w:after="283"/>
              <w:jc w:val="left"/>
              <w:rPr/>
            </w:pPr>
            <w:r>
              <w:rPr/>
              <w:t>The gender dimension must be taken into account. Quantitatively: aim for no unequal treatment or unequal opportunity by gender in the training policy. Qualitatively: pay attention to training on gender equality and the prevention of discrimination.</w:t>
            </w:r>
          </w:p>
        </w:tc>
        <w:tc>
          <w:tcPr>
            <w:tcW w:w="3741" w:type="dxa"/>
            <w:tcBorders/>
            <w:vAlign w:val="center"/>
          </w:tcPr>
          <w:p>
            <w:pPr>
              <w:pStyle w:val="TableContents"/>
              <w:bidi w:val="0"/>
              <w:spacing w:before="0" w:after="283"/>
              <w:jc w:val="left"/>
              <w:rPr/>
            </w:pPr>
            <w:r>
              <w:rPr/>
              <w:t>14 of the 60 employees are women, 23 per cent of the workforce and 22 per cent of planned participants. All line managers take 4 hours of training on discrimination in selection and promotion.</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10. Method of evaluation with employees</w:t>
            </w:r>
          </w:p>
        </w:tc>
        <w:tc>
          <w:tcPr>
            <w:tcW w:w="4876" w:type="dxa"/>
            <w:tcBorders/>
            <w:vAlign w:val="center"/>
          </w:tcPr>
          <w:p>
            <w:pPr>
              <w:pStyle w:val="TableContents"/>
              <w:bidi w:val="0"/>
              <w:spacing w:before="0" w:after="283"/>
              <w:jc w:val="left"/>
              <w:rPr/>
            </w:pPr>
            <w:r>
              <w:rPr/>
              <w:t>How you evaluate with employees whether the training met its aim. The Act names the method of evaluation explicitly as a point of attention.</w:t>
            </w:r>
          </w:p>
        </w:tc>
        <w:tc>
          <w:tcPr>
            <w:tcW w:w="3741" w:type="dxa"/>
            <w:tcBorders/>
            <w:vAlign w:val="center"/>
          </w:tcPr>
          <w:p>
            <w:pPr>
              <w:pStyle w:val="TableContents"/>
              <w:bidi w:val="0"/>
              <w:spacing w:before="0" w:after="283"/>
              <w:jc w:val="left"/>
              <w:rPr/>
            </w:pPr>
            <w:r>
              <w:rPr/>
              <w:t>Evaluation form within two weeks of every training, with a question on application at the workstation. One standing agenda item on training in the annual appraisal.</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11. Contribution to the individual right to training</w:t>
            </w:r>
          </w:p>
        </w:tc>
        <w:tc>
          <w:tcPr>
            <w:tcW w:w="4876" w:type="dxa"/>
            <w:tcBorders/>
            <w:vAlign w:val="center"/>
          </w:tcPr>
          <w:p>
            <w:pPr>
              <w:pStyle w:val="TableContents"/>
              <w:bidi w:val="0"/>
              <w:spacing w:before="0" w:after="283"/>
              <w:jc w:val="left"/>
              <w:rPr/>
            </w:pPr>
            <w:r>
              <w:rPr/>
              <w:t>An explanation of how the plan contributes to the investment in training set out in chapter 12 of the Act of 3 October 2022. Legally mandatory block.</w:t>
            </w:r>
          </w:p>
        </w:tc>
        <w:tc>
          <w:tcPr>
            <w:tcW w:w="3741" w:type="dxa"/>
            <w:tcBorders/>
            <w:vAlign w:val="center"/>
          </w:tcPr>
          <w:p>
            <w:pPr>
              <w:pStyle w:val="TableContents"/>
              <w:bidi w:val="0"/>
              <w:spacing w:before="0" w:after="283"/>
              <w:jc w:val="left"/>
              <w:rPr/>
            </w:pPr>
            <w:r>
              <w:rPr/>
              <w:t>The planned training amounts to an average of 3.4 training days per full-time equivalent. The remaining days are filled individually from the training catalogue, tracked per employee.</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12. Rows per joint committee (recommended, not legally required)</w:t>
            </w:r>
          </w:p>
        </w:tc>
        <w:tc>
          <w:tcPr>
            <w:tcW w:w="4876" w:type="dxa"/>
            <w:tcBorders/>
            <w:vAlign w:val="center"/>
          </w:tcPr>
          <w:p>
            <w:pPr>
              <w:pStyle w:val="TableContents"/>
              <w:bidi w:val="0"/>
              <w:spacing w:before="0" w:after="283"/>
              <w:jc w:val="left"/>
              <w:rPr/>
            </w:pPr>
            <w:r>
              <w:rPr/>
              <w:t>One row per competent joint committee: is there a sectoral agreement imposing minimum requirements on the plan, how many training days does the sector impose, which sectoral fund goes with it. A generally binding sectoral agreement has to be complied with.</w:t>
            </w:r>
          </w:p>
        </w:tc>
        <w:tc>
          <w:tcPr>
            <w:tcW w:w="3741" w:type="dxa"/>
            <w:tcBorders/>
            <w:vAlign w:val="center"/>
          </w:tcPr>
          <w:p>
            <w:pPr>
              <w:pStyle w:val="TableContents"/>
              <w:bidi w:val="0"/>
              <w:spacing w:before="0" w:after="283"/>
              <w:jc w:val="left"/>
              <w:rPr/>
            </w:pPr>
            <w:r>
              <w:rPr/>
              <w:t>Row one for JC 111, with the sectoral agreement looked up in the FPS database and the training fund named. Row two for the white-collar committee, with its own day count and its own fund.</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13. Training right ledger in days (recommended, not legally required)</w:t>
            </w:r>
          </w:p>
        </w:tc>
        <w:tc>
          <w:tcPr>
            <w:tcW w:w="4876" w:type="dxa"/>
            <w:tcBorders/>
            <w:vAlign w:val="center"/>
          </w:tcPr>
          <w:p>
            <w:pPr>
              <w:pStyle w:val="TableContents"/>
              <w:bidi w:val="0"/>
              <w:spacing w:before="0" w:after="283"/>
              <w:jc w:val="left"/>
              <w:rPr/>
            </w:pPr>
            <w:r>
              <w:rPr/>
              <w:t>Per employee: this year's training credit, days taken, balance, days carried over and the end date of the running five-year period. Since 1 January 2026 registration is no longer a legal obligation, but an employee can ask for the balance of their credit and without a counter the carry-over cannot be evidenced.</w:t>
            </w:r>
          </w:p>
        </w:tc>
        <w:tc>
          <w:tcPr>
            <w:tcW w:w="3741" w:type="dxa"/>
            <w:tcBorders/>
            <w:vAlign w:val="center"/>
          </w:tcPr>
          <w:p>
            <w:pPr>
              <w:pStyle w:val="TableContents"/>
              <w:bidi w:val="0"/>
              <w:spacing w:before="0" w:after="283"/>
              <w:jc w:val="left"/>
              <w:rPr/>
            </w:pPr>
            <w:r>
              <w:rPr/>
              <w:t>60 rows, one per employee, in days, pro rata for part-time contracts and for mid-year starters. Running period started 1 January 2024, balance reset on 31 December 2028.</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14. Budget and cost (recommended, not legally required)</w:t>
            </w:r>
          </w:p>
        </w:tc>
        <w:tc>
          <w:tcPr>
            <w:tcW w:w="4876" w:type="dxa"/>
            <w:tcBorders/>
            <w:vAlign w:val="center"/>
          </w:tcPr>
          <w:p>
            <w:pPr>
              <w:pStyle w:val="TableContents"/>
              <w:bidi w:val="0"/>
              <w:spacing w:before="0" w:after="283"/>
              <w:jc w:val="left"/>
              <w:rPr/>
            </w:pPr>
            <w:r>
              <w:rPr/>
              <w:t>Cost per training and per employee, with expected subsidies deducted. Not required by law, but it is the basis for the net cost you will need in the training section of the social balance sheet.</w:t>
            </w:r>
          </w:p>
        </w:tc>
        <w:tc>
          <w:tcPr>
            <w:tcW w:w="3741" w:type="dxa"/>
            <w:tcBorders/>
            <w:vAlign w:val="center"/>
          </w:tcPr>
          <w:p>
            <w:pPr>
              <w:pStyle w:val="TableContents"/>
              <w:bidi w:val="0"/>
              <w:spacing w:before="0" w:after="283"/>
              <w:jc w:val="left"/>
              <w:rPr/>
            </w:pPr>
            <w:r>
              <w:rPr/>
              <w:t>Gross budget of 41,000 euro for the year, expected sectoral fund contributions deducted, net cost tracked per training block and per gender.</w:t>
            </w:r>
          </w:p>
        </w:tc>
        <w:tc>
          <w:tcPr>
            <w:tcW w:w="855" w:type="dxa"/>
            <w:tcBorders/>
            <w:vAlign w:val="center"/>
          </w:tcPr>
          <w:p>
            <w:pPr>
              <w:pStyle w:val="TableContents"/>
              <w:bidi w:val="0"/>
              <w:spacing w:before="0" w:after="283"/>
              <w:jc w:val="left"/>
              <w:rPr>
                <w:sz w:val="4"/>
                <w:szCs w:val="4"/>
              </w:rPr>
            </w:pPr>
            <w:r>
              <w:rPr>
                <w:sz w:val="4"/>
                <w:szCs w:val="4"/>
              </w:rPr>
            </w:r>
          </w:p>
        </w:tc>
      </w:tr>
      <w:tr>
        <w:trPr/>
        <w:tc>
          <w:tcPr>
            <w:tcW w:w="1867" w:type="dxa"/>
            <w:tcBorders/>
            <w:vAlign w:val="center"/>
          </w:tcPr>
          <w:p>
            <w:pPr>
              <w:pStyle w:val="TableContents"/>
              <w:bidi w:val="0"/>
              <w:spacing w:before="0" w:after="283"/>
              <w:jc w:val="left"/>
              <w:rPr/>
            </w:pPr>
            <w:r>
              <w:rPr/>
              <w:t>15. Filing</w:t>
            </w:r>
          </w:p>
        </w:tc>
        <w:tc>
          <w:tcPr>
            <w:tcW w:w="4876" w:type="dxa"/>
            <w:tcBorders/>
            <w:vAlign w:val="center"/>
          </w:tcPr>
          <w:p>
            <w:pPr>
              <w:pStyle w:val="TableContents"/>
              <w:bidi w:val="0"/>
              <w:spacing w:before="0" w:after="283"/>
              <w:jc w:val="left"/>
              <w:rPr/>
            </w:pPr>
            <w:r>
              <w:rPr/>
              <w:t>The date the plan enters into force and the date you sent the anonymised copy to the Director-General. Article 38 asks for that copy within one month of entry into force, but does not say which date counts as entry into force: 1 January, or the day the content was settled. Record both and send as soon as the content is settled. Keep the acknowledgement of receipt with the plan.</w:t>
            </w:r>
          </w:p>
        </w:tc>
        <w:tc>
          <w:tcPr>
            <w:tcW w:w="3741" w:type="dxa"/>
            <w:tcBorders/>
            <w:vAlign w:val="center"/>
          </w:tcPr>
          <w:p>
            <w:pPr>
              <w:pStyle w:val="TableContents"/>
              <w:bidi w:val="0"/>
              <w:spacing w:before="0" w:after="283"/>
              <w:jc w:val="left"/>
              <w:rPr/>
            </w:pPr>
            <w:r>
              <w:rPr/>
              <w:t>Term running from 1 January 2026, content settled on 24 March 2026, anonymised copy sent on 8 April 2026 through transfer.werk.belgie.be, acknowledgement in the file.</w:t>
            </w:r>
          </w:p>
        </w:tc>
        <w:tc>
          <w:tcPr>
            <w:tcW w:w="855" w:type="dxa"/>
            <w:tcBorders/>
            <w:vAlign w:val="center"/>
          </w:tcPr>
          <w:p>
            <w:pPr>
              <w:pStyle w:val="TableContents"/>
              <w:bidi w:val="0"/>
              <w:spacing w:before="0" w:after="283"/>
              <w:jc w:val="left"/>
              <w:rPr>
                <w:sz w:val="4"/>
                <w:szCs w:val="4"/>
              </w:rPr>
            </w:pPr>
            <w:r>
              <w:rPr>
                <w:sz w:val="4"/>
                <w:szCs w:val="4"/>
              </w:rPr>
            </w:r>
          </w:p>
        </w:tc>
      </w:tr>
    </w:tbl>
    <w:p>
      <w:pPr>
        <w:pStyle w:val="BodyTextfoot"/>
        <w:bidi w:val="0"/>
        <w:spacing w:before="240" w:after="283"/>
        <w:jc w:val="left"/>
        <w:rPr/>
      </w:pPr>
      <w:r>
        <w:rPr/>
        <w:t>Template by Smart Lions — smartlions.site</w:t>
      </w:r>
    </w:p>
    <w:sectPr>
      <w:type w:val="nextPage"/>
      <w:pgSz w:w="11906" w:h="16838"/>
      <w:pgMar w:left="1134" w:right="567" w:gutter="0" w:header="0" w:top="567" w:footer="0" w:bottom="567"/>
      <w:pgNumType w:fmt="decimal"/>
      <w:formProt w:val="false"/>
      <w:textDirection w:val="lrTb"/>
      <w:docGrid w:type="default"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w:altName w:val="Arial"/>
    <w:charset w:val="01"/>
    <w:family w:val="auto"/>
    <w:pitch w:val="default"/>
  </w:font>
  <w:font w:name="Liberation Sans">
    <w:altName w:val="Arial"/>
    <w:charset w:val="01"/>
    <w:family w:val="swiss"/>
    <w:pitch w:val="variable"/>
  </w:font>
</w:fonts>
</file>

<file path=word/settings.xml><?xml version="1.0" encoding="utf-8"?>
<w:settings xmlns:w="http://schemas.openxmlformats.org/wordprocessingml/2006/main">
  <w:view w:val="web"/>
  <w:zoom w:percent="100"/>
  <w:defaultTabStop w:val="1134"/>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 Sans Devanagari"/>
        <w:sz w:val="24"/>
        <w:szCs w:val="24"/>
        <w:lang w:val="en-US" w:eastAsia="zh-CN" w:bidi="hi-IN"/>
      </w:rPr>
    </w:rPrDefault>
    <w:pPrDefault>
      <w:pPr>
        <w:suppressAutoHyphens w:val="true"/>
      </w:pPr>
    </w:pPrDefault>
  </w:docDefaults>
  <w:style w:type="paragraph" w:styleId="Normal">
    <w:name w:val="Normal"/>
    <w:qFormat/>
    <w:pPr>
      <w:widowControl w:val="false"/>
      <w:bidi w:val="0"/>
    </w:pPr>
    <w:rPr>
      <w:rFonts w:ascii="Liberation Sans;Arial;sans-serif" w:hAnsi="Liberation Sans;Arial;sans-serif" w:eastAsia="Liberation Sans;Arial;sans-serif" w:cs="Liberation Sans;Arial;sans-serif"/>
      <w:color w:val="111111"/>
      <w:sz w:val="20"/>
      <w:szCs w:val="20"/>
      <w:lang w:val="en-US" w:eastAsia="zh-CN" w:bidi="hi-IN"/>
    </w:rPr>
  </w:style>
  <w:style w:type="paragraph" w:styleId="Heading1">
    <w:name w:val="heading 1"/>
    <w:basedOn w:val="Heading"/>
    <w:next w:val="BodyText"/>
    <w:qFormat/>
    <w:pPr>
      <w:spacing w:before="240" w:after="120"/>
    </w:pPr>
    <w:rPr>
      <w:b/>
      <w:bCs/>
      <w:color w:val="0B145A"/>
      <w:sz w:val="32"/>
      <w:szCs w:val="32"/>
    </w:rPr>
  </w:style>
  <w:style w:type="character" w:styleId="EndnoteReference">
    <w:name w:val="endnote reference"/>
    <w:rPr>
      <w:vertAlign w:val="superscript"/>
    </w:rPr>
  </w:style>
  <w:style w:type="character" w:styleId="FootnoteReference">
    <w:name w:val="footnote reference"/>
    <w:rPr>
      <w:vertAlign w:val="superscript"/>
    </w:rPr>
  </w:style>
  <w:style w:type="character" w:styleId="EndnoteCharacters">
    <w:name w:val="Endnote Characters"/>
    <w:qFormat/>
    <w:rPr/>
  </w:style>
  <w:style w:type="character" w:styleId="FootnoteCharacters">
    <w:name w:val="Footnote Characters"/>
    <w:qFormat/>
    <w:rPr/>
  </w:style>
  <w:style w:type="character" w:styleId="Hyperlink">
    <w:name w:val="Hyperlink"/>
    <w:rPr>
      <w:color w:val="000080"/>
      <w:u w:val="single"/>
    </w:rPr>
  </w:style>
  <w:style w:type="paragraph" w:styleId="HorizontalLine">
    <w:name w:val="Horizontal Line"/>
    <w:basedOn w:val="Normal"/>
    <w:next w:val="BodyText"/>
    <w:qFormat/>
    <w:pPr>
      <w:pBdr>
        <w:bottom w:val="double" w:sz="2" w:space="0" w:color="808080"/>
      </w:pBdr>
      <w:spacing w:before="0" w:after="283"/>
    </w:pPr>
    <w:rPr>
      <w:sz w:val="12"/>
    </w:rPr>
  </w:style>
  <w:style w:type="paragraph" w:styleId="EnvelopeReturn">
    <w:name w:val="envelope return"/>
    <w:basedOn w:val="Normal"/>
    <w:pPr/>
    <w:rPr>
      <w:i/>
    </w:rPr>
  </w:style>
  <w:style w:type="paragraph" w:styleId="TableContents">
    <w:name w:val="Table Contents"/>
    <w:basedOn w:val="BodyText"/>
    <w:qFormat/>
    <w:pPr/>
    <w:rPr>
      <w:sz w:val="18"/>
      <w:szCs w:val="1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BodyText"/>
    <w:pPr/>
    <w:rPr>
      <w:rFonts w:cs="Noto Sans Devanagari"/>
    </w:rPr>
  </w:style>
  <w:style w:type="paragraph" w:styleId="BodyText">
    <w:name w:val="Body Text"/>
    <w:basedOn w:val="Normal"/>
    <w:pPr>
      <w:spacing w:before="0" w:after="283"/>
    </w:pPr>
    <w:rPr/>
  </w:style>
  <w:style w:type="paragraph" w:styleId="Heading">
    <w:name w:val="Heading"/>
    <w:basedOn w:val="Normal"/>
    <w:next w:val="BodyText"/>
    <w:qFormat/>
    <w:pPr>
      <w:keepNext w:val="true"/>
      <w:spacing w:before="240" w:after="283"/>
    </w:pPr>
    <w:rPr>
      <w:rFonts w:ascii="Liberation Sans" w:hAnsi="Liberation Sans"/>
      <w:sz w:val="28"/>
      <w:szCs w:val="28"/>
    </w:rPr>
  </w:style>
  <w:style w:type="paragraph" w:styleId="BodyTextnote">
    <w:name w:val="Body Text.note"/>
    <w:basedOn w:val="BodyText"/>
    <w:qFormat/>
    <w:pPr>
      <w:spacing w:before="0" w:after="240"/>
    </w:pPr>
    <w:rPr>
      <w:color w:val="444444"/>
      <w:sz w:val="18"/>
      <w:szCs w:val="18"/>
    </w:rPr>
  </w:style>
  <w:style w:type="paragraph" w:styleId="BodyTextfoot">
    <w:name w:val="Body Text.foot"/>
    <w:basedOn w:val="BodyText"/>
    <w:qFormat/>
    <w:pPr>
      <w:spacing w:before="240" w:after="283"/>
    </w:pPr>
    <w:rPr>
      <w:color w:val="666666"/>
      <w:sz w:val="16"/>
      <w:szCs w:val="16"/>
    </w:rPr>
  </w:style>
  <w:style w:type="paragraph" w:styleId="TableHeading">
    <w:name w:val="Table Heading"/>
    <w:basedOn w:val="TableContents"/>
    <w:qFormat/>
    <w:pPr>
      <w:suppressLineNumbers/>
      <w:shd w:fill="0B145A" w:val="clear"/>
      <w:jc w:val="left"/>
    </w:pPr>
    <w:rPr>
      <w:b/>
      <w:bCs/>
      <w:color w:val="FFFFFF"/>
      <w:sz w:val="18"/>
      <w:szCs w:val="1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LibreOffice/25.8.6.2$Linux_X86_64 LibreOffice_project/580$Build-2</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Belgian training plan template: every block, with a worked example</dc:title>
</cp:coreProperties>
</file>

<file path=docProps/custom.xml><?xml version="1.0" encoding="utf-8"?>
<Properties xmlns="http://schemas.openxmlformats.org/officeDocument/2006/custom-properties" xmlns:vt="http://schemas.openxmlformats.org/officeDocument/2006/docPropsVTypes"/>
</file>